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AC" w:rsidRPr="00847578" w:rsidRDefault="0065263B" w:rsidP="00BA015E">
      <w:pPr>
        <w:pStyle w:val="Title"/>
        <w:rPr>
          <w:sz w:val="28"/>
          <w:szCs w:val="28"/>
          <w:lang w:val="en-US"/>
        </w:rPr>
      </w:pPr>
      <w:proofErr w:type="spellStart"/>
      <w:r>
        <w:rPr>
          <w:sz w:val="28"/>
          <w:szCs w:val="28"/>
          <w:lang w:val="en-US"/>
        </w:rPr>
        <w:t>Micropla</w:t>
      </w:r>
      <w:r w:rsidR="006F68F4">
        <w:rPr>
          <w:sz w:val="28"/>
          <w:szCs w:val="28"/>
          <w:lang w:val="en-US"/>
        </w:rPr>
        <w:t>stic</w:t>
      </w:r>
      <w:r w:rsidR="00747C62">
        <w:rPr>
          <w:sz w:val="28"/>
          <w:szCs w:val="28"/>
          <w:lang w:val="en-US"/>
        </w:rPr>
        <w:t>s</w:t>
      </w:r>
      <w:proofErr w:type="spellEnd"/>
      <w:r w:rsidR="006F68F4">
        <w:rPr>
          <w:sz w:val="28"/>
          <w:szCs w:val="28"/>
          <w:lang w:val="en-US"/>
        </w:rPr>
        <w:t xml:space="preserve"> in the sediments </w:t>
      </w:r>
      <w:r>
        <w:rPr>
          <w:sz w:val="28"/>
          <w:szCs w:val="28"/>
          <w:lang w:val="en-US"/>
        </w:rPr>
        <w:t>of the Norwegian Continental Shel</w:t>
      </w:r>
      <w:r w:rsidR="0087365C">
        <w:rPr>
          <w:sz w:val="28"/>
          <w:szCs w:val="28"/>
          <w:lang w:val="en-US"/>
        </w:rPr>
        <w:t>f</w:t>
      </w:r>
    </w:p>
    <w:tbl>
      <w:tblPr>
        <w:tblStyle w:val="TableGrid"/>
        <w:tblW w:w="9286" w:type="dxa"/>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5" w:type="dxa"/>
          <w:right w:w="0" w:type="dxa"/>
        </w:tblCellMar>
        <w:tblLook w:val="01E0" w:firstRow="1" w:lastRow="1" w:firstColumn="1" w:lastColumn="1" w:noHBand="0" w:noVBand="0"/>
      </w:tblPr>
      <w:tblGrid>
        <w:gridCol w:w="6480"/>
        <w:gridCol w:w="2806"/>
      </w:tblGrid>
      <w:tr w:rsidR="00CE5820">
        <w:trPr>
          <w:trHeight w:val="397"/>
          <w:tblCellSpacing w:w="0" w:type="dxa"/>
        </w:trPr>
        <w:tc>
          <w:tcPr>
            <w:tcW w:w="9286" w:type="dxa"/>
            <w:gridSpan w:val="2"/>
          </w:tcPr>
          <w:p w:rsidR="00CE5820" w:rsidRDefault="00AF0775" w:rsidP="00AF0775">
            <w:pPr>
              <w:pStyle w:val="Authors"/>
              <w:rPr>
                <w:lang w:val="nb-NO"/>
              </w:rPr>
            </w:pPr>
            <w:r w:rsidRPr="00AF0775">
              <w:rPr>
                <w:u w:val="single"/>
                <w:lang w:val="nb-NO"/>
              </w:rPr>
              <w:t>Arne Pettersen</w:t>
            </w:r>
            <w:r w:rsidR="00847578" w:rsidRPr="00AF0775">
              <w:rPr>
                <w:szCs w:val="22"/>
                <w:u w:val="single"/>
                <w:vertAlign w:val="superscript"/>
                <w:lang w:val="nb-NO"/>
              </w:rPr>
              <w:t>1</w:t>
            </w:r>
            <w:r w:rsidR="00BA015E" w:rsidRPr="00AF0775">
              <w:rPr>
                <w:lang w:val="nb-NO"/>
              </w:rPr>
              <w:t xml:space="preserve">, </w:t>
            </w:r>
            <w:r w:rsidRPr="00AF0775">
              <w:rPr>
                <w:lang w:val="nb-NO"/>
              </w:rPr>
              <w:t>Hans Peter Arp</w:t>
            </w:r>
            <w:r w:rsidRPr="00AF0775">
              <w:rPr>
                <w:szCs w:val="22"/>
                <w:u w:val="single"/>
                <w:vertAlign w:val="superscript"/>
                <w:lang w:val="nb-NO"/>
              </w:rPr>
              <w:t>1</w:t>
            </w:r>
            <w:r w:rsidR="00BA015E" w:rsidRPr="00AF0775">
              <w:rPr>
                <w:lang w:val="nb-NO"/>
              </w:rPr>
              <w:t>,</w:t>
            </w:r>
            <w:r w:rsidR="00AC613B" w:rsidRPr="00AF0775">
              <w:rPr>
                <w:lang w:val="nb-NO"/>
              </w:rPr>
              <w:t xml:space="preserve"> </w:t>
            </w:r>
            <w:r w:rsidRPr="00AF0775">
              <w:rPr>
                <w:lang w:val="nb-NO"/>
              </w:rPr>
              <w:t>Heidi Knutsen</w:t>
            </w:r>
            <w:r w:rsidRPr="00AF0775">
              <w:rPr>
                <w:szCs w:val="22"/>
                <w:u w:val="single"/>
                <w:vertAlign w:val="superscript"/>
                <w:lang w:val="nb-NO"/>
              </w:rPr>
              <w:t>1</w:t>
            </w:r>
            <w:r w:rsidR="00847578" w:rsidRPr="00AF0775">
              <w:rPr>
                <w:lang w:val="nb-NO"/>
              </w:rPr>
              <w:t xml:space="preserve">, </w:t>
            </w:r>
            <w:r w:rsidRPr="00AF0775">
              <w:rPr>
                <w:lang w:val="nb-NO"/>
              </w:rPr>
              <w:t>Emma Jane Wade</w:t>
            </w:r>
            <w:r w:rsidRPr="00AF0775">
              <w:rPr>
                <w:szCs w:val="22"/>
                <w:u w:val="single"/>
                <w:vertAlign w:val="superscript"/>
                <w:lang w:val="nb-NO"/>
              </w:rPr>
              <w:t>1</w:t>
            </w:r>
          </w:p>
          <w:p w:rsidR="00AF0775" w:rsidRPr="00AF0775" w:rsidRDefault="00AF0775" w:rsidP="00AF0775">
            <w:pPr>
              <w:pStyle w:val="Authors"/>
              <w:rPr>
                <w:lang w:val="nb-NO"/>
              </w:rPr>
            </w:pPr>
            <w:r>
              <w:rPr>
                <w:lang w:val="nb-NO"/>
              </w:rPr>
              <w:t>Thomas Møskeland</w:t>
            </w:r>
            <w:r w:rsidRPr="00AF0775">
              <w:rPr>
                <w:szCs w:val="22"/>
                <w:vertAlign w:val="superscript"/>
                <w:lang w:val="nb-NO"/>
              </w:rPr>
              <w:t>2</w:t>
            </w:r>
            <w:r>
              <w:rPr>
                <w:lang w:val="nb-NO"/>
              </w:rPr>
              <w:t>, Jens Laugesen</w:t>
            </w:r>
            <w:r w:rsidRPr="00AF0775">
              <w:rPr>
                <w:szCs w:val="22"/>
                <w:vertAlign w:val="superscript"/>
                <w:lang w:val="nb-NO"/>
              </w:rPr>
              <w:t>2</w:t>
            </w:r>
          </w:p>
        </w:tc>
      </w:tr>
      <w:tr w:rsidR="00CE5820" w:rsidRPr="00E82114">
        <w:trPr>
          <w:trHeight w:val="907"/>
          <w:tblCellSpacing w:w="0" w:type="dxa"/>
        </w:trPr>
        <w:tc>
          <w:tcPr>
            <w:tcW w:w="6480" w:type="dxa"/>
          </w:tcPr>
          <w:p w:rsidR="00CE5820" w:rsidRPr="00172F35" w:rsidRDefault="00847578" w:rsidP="00847578">
            <w:pPr>
              <w:pStyle w:val="Institutes"/>
              <w:numPr>
                <w:ilvl w:val="0"/>
                <w:numId w:val="0"/>
              </w:numPr>
              <w:rPr>
                <w:b w:val="0"/>
                <w:sz w:val="18"/>
                <w:szCs w:val="18"/>
              </w:rPr>
            </w:pPr>
            <w:r w:rsidRPr="00172F35">
              <w:rPr>
                <w:b w:val="0"/>
                <w:sz w:val="18"/>
                <w:szCs w:val="18"/>
                <w:vertAlign w:val="superscript"/>
              </w:rPr>
              <w:t>1</w:t>
            </w:r>
            <w:r w:rsidR="00630B68" w:rsidRPr="00172F35">
              <w:rPr>
                <w:b w:val="0"/>
                <w:sz w:val="18"/>
                <w:szCs w:val="18"/>
              </w:rPr>
              <w:t>Norwegian Geotechnical Institute, Environmental Technology, Sognsveien 72, Oslo, Norway</w:t>
            </w:r>
          </w:p>
          <w:p w:rsidR="00D734C1" w:rsidRPr="00E82114" w:rsidRDefault="00AC613B" w:rsidP="00E82114">
            <w:pPr>
              <w:pStyle w:val="Institutes"/>
              <w:numPr>
                <w:ilvl w:val="0"/>
                <w:numId w:val="0"/>
              </w:numPr>
              <w:rPr>
                <w:b w:val="0"/>
                <w:sz w:val="18"/>
                <w:szCs w:val="18"/>
                <w:lang w:val="nb-NO"/>
              </w:rPr>
            </w:pPr>
            <w:r w:rsidRPr="001B756D">
              <w:rPr>
                <w:b w:val="0"/>
                <w:sz w:val="18"/>
                <w:szCs w:val="18"/>
                <w:vertAlign w:val="superscript"/>
                <w:lang w:val="nb-NO"/>
              </w:rPr>
              <w:t>2</w:t>
            </w:r>
            <w:r w:rsidR="00630B68" w:rsidRPr="001B756D">
              <w:rPr>
                <w:b w:val="0"/>
                <w:sz w:val="18"/>
                <w:szCs w:val="18"/>
                <w:lang w:val="nb-NO"/>
              </w:rPr>
              <w:t>DNV-GL</w:t>
            </w:r>
            <w:r w:rsidR="00AF0775" w:rsidRPr="001B756D">
              <w:rPr>
                <w:b w:val="0"/>
                <w:sz w:val="18"/>
                <w:szCs w:val="18"/>
                <w:lang w:val="nb-NO"/>
              </w:rPr>
              <w:t>, Veritasveien 1, Høvik, Oslo</w:t>
            </w:r>
            <w:r w:rsidR="00630B68" w:rsidRPr="001B756D">
              <w:rPr>
                <w:b w:val="0"/>
                <w:sz w:val="18"/>
                <w:szCs w:val="18"/>
                <w:lang w:val="nb-NO"/>
              </w:rPr>
              <w:t>, Norway</w:t>
            </w:r>
            <w:bookmarkStart w:id="0" w:name="_GoBack"/>
            <w:bookmarkEnd w:id="0"/>
          </w:p>
        </w:tc>
        <w:tc>
          <w:tcPr>
            <w:tcW w:w="2806" w:type="dxa"/>
          </w:tcPr>
          <w:p w:rsidR="00A94BA3" w:rsidRPr="005E0E7D" w:rsidRDefault="00630B68" w:rsidP="00A94BA3">
            <w:pPr>
              <w:pStyle w:val="Institutes"/>
              <w:numPr>
                <w:ilvl w:val="0"/>
                <w:numId w:val="0"/>
              </w:numPr>
              <w:rPr>
                <w:b w:val="0"/>
                <w:sz w:val="18"/>
                <w:szCs w:val="18"/>
                <w:lang w:val="fr-FR"/>
              </w:rPr>
            </w:pPr>
            <w:r>
              <w:rPr>
                <w:b w:val="0"/>
                <w:sz w:val="18"/>
                <w:szCs w:val="18"/>
                <w:lang w:val="fr-FR"/>
              </w:rPr>
              <w:t>Phone: +47 909 25 252</w:t>
            </w:r>
          </w:p>
          <w:p w:rsidR="00847578" w:rsidRPr="005E0E7D" w:rsidRDefault="00A94BA3" w:rsidP="00A94BA3">
            <w:pPr>
              <w:pStyle w:val="Institutes"/>
              <w:numPr>
                <w:ilvl w:val="0"/>
                <w:numId w:val="0"/>
              </w:numPr>
              <w:rPr>
                <w:lang w:val="fr-FR"/>
              </w:rPr>
            </w:pPr>
            <w:r w:rsidRPr="005E0E7D">
              <w:rPr>
                <w:b w:val="0"/>
                <w:sz w:val="18"/>
                <w:szCs w:val="18"/>
                <w:lang w:val="fr-FR"/>
              </w:rPr>
              <w:t>E-mail:</w:t>
            </w:r>
            <w:r w:rsidRPr="005E0E7D">
              <w:rPr>
                <w:lang w:val="fr-FR"/>
              </w:rPr>
              <w:t xml:space="preserve"> </w:t>
            </w:r>
            <w:r w:rsidR="00630B68">
              <w:rPr>
                <w:b w:val="0"/>
                <w:lang w:val="fr-FR"/>
              </w:rPr>
              <w:t>arne.pettersen</w:t>
            </w:r>
            <w:r w:rsidRPr="005E0E7D">
              <w:rPr>
                <w:b w:val="0"/>
                <w:lang w:val="fr-FR"/>
              </w:rPr>
              <w:t>@</w:t>
            </w:r>
            <w:r w:rsidR="00630B68">
              <w:rPr>
                <w:b w:val="0"/>
                <w:lang w:val="fr-FR"/>
              </w:rPr>
              <w:t>ngi.no</w:t>
            </w:r>
          </w:p>
          <w:p w:rsidR="00847578" w:rsidRPr="005E0E7D" w:rsidRDefault="00847578" w:rsidP="00BA015E">
            <w:pPr>
              <w:pStyle w:val="Institutes"/>
              <w:numPr>
                <w:ilvl w:val="0"/>
                <w:numId w:val="0"/>
              </w:numPr>
              <w:rPr>
                <w:lang w:val="fr-FR"/>
              </w:rPr>
            </w:pPr>
          </w:p>
        </w:tc>
      </w:tr>
      <w:tr w:rsidR="00F02BEC" w:rsidRPr="00E82114">
        <w:trPr>
          <w:trHeight w:hRule="exact" w:val="227"/>
          <w:tblCellSpacing w:w="0" w:type="dxa"/>
        </w:trPr>
        <w:tc>
          <w:tcPr>
            <w:tcW w:w="9286" w:type="dxa"/>
            <w:gridSpan w:val="2"/>
            <w:tcBorders>
              <w:top w:val="single" w:sz="4" w:space="0" w:color="auto"/>
            </w:tcBorders>
          </w:tcPr>
          <w:p w:rsidR="00D734C1" w:rsidRPr="00172F35" w:rsidRDefault="00D734C1" w:rsidP="00D734C1">
            <w:pPr>
              <w:rPr>
                <w:b/>
                <w:sz w:val="20"/>
                <w:szCs w:val="20"/>
                <w:lang w:val="fr-FR"/>
              </w:rPr>
            </w:pPr>
          </w:p>
          <w:p w:rsidR="00D734C1" w:rsidRPr="00172F35" w:rsidRDefault="00D734C1" w:rsidP="00D734C1">
            <w:pPr>
              <w:rPr>
                <w:b/>
                <w:sz w:val="20"/>
                <w:szCs w:val="20"/>
                <w:lang w:val="fr-FR"/>
              </w:rPr>
            </w:pPr>
          </w:p>
          <w:p w:rsidR="00F02BEC" w:rsidRPr="005E0E7D" w:rsidRDefault="00F02BEC" w:rsidP="00BA015E">
            <w:pPr>
              <w:pStyle w:val="Institutes"/>
              <w:numPr>
                <w:ilvl w:val="0"/>
                <w:numId w:val="0"/>
              </w:numPr>
              <w:rPr>
                <w:lang w:val="fr-FR"/>
              </w:rPr>
            </w:pPr>
          </w:p>
        </w:tc>
      </w:tr>
    </w:tbl>
    <w:p w:rsidR="00680EAC" w:rsidRPr="005E0E7D" w:rsidRDefault="00680EAC">
      <w:pPr>
        <w:rPr>
          <w:lang w:val="fr-FR"/>
        </w:rPr>
        <w:sectPr w:rsidR="00680EAC" w:rsidRPr="005E0E7D" w:rsidSect="00BA015E">
          <w:pgSz w:w="11906" w:h="16838" w:code="9"/>
          <w:pgMar w:top="1418" w:right="1418" w:bottom="1418" w:left="1418" w:header="851" w:footer="567" w:gutter="0"/>
          <w:cols w:space="720"/>
          <w:docGrid w:linePitch="360"/>
        </w:sectPr>
      </w:pPr>
    </w:p>
    <w:p w:rsidR="00680EAC" w:rsidRDefault="00680EAC" w:rsidP="0087365C">
      <w:pPr>
        <w:rPr>
          <w:bCs/>
          <w:kern w:val="32"/>
          <w:sz w:val="20"/>
          <w:szCs w:val="20"/>
          <w:lang w:val="en-US"/>
        </w:rPr>
      </w:pPr>
      <w:r w:rsidRPr="00AC613B">
        <w:rPr>
          <w:b/>
          <w:bCs/>
          <w:kern w:val="32"/>
          <w:sz w:val="20"/>
          <w:szCs w:val="20"/>
          <w:lang w:val="en-US"/>
        </w:rPr>
        <w:lastRenderedPageBreak/>
        <w:t xml:space="preserve">Introduction: </w:t>
      </w:r>
      <w:r w:rsidR="0087365C" w:rsidRPr="0087365C">
        <w:rPr>
          <w:bCs/>
          <w:kern w:val="32"/>
          <w:sz w:val="20"/>
          <w:szCs w:val="20"/>
          <w:lang w:val="en-US"/>
        </w:rPr>
        <w:t>During the regional environmental sediment monitoring on the Norwegian Continental Shelf on behalf of the Oil &amp; Gas industry in 2017, 35 sediment samples from a large geographical area were sampled, covering the central North Sea, northern North Sea and the Barents Sea. The sediment sample</w:t>
      </w:r>
      <w:r w:rsidR="007C26BB">
        <w:rPr>
          <w:bCs/>
          <w:kern w:val="32"/>
          <w:sz w:val="20"/>
          <w:szCs w:val="20"/>
          <w:lang w:val="en-US"/>
        </w:rPr>
        <w:t xml:space="preserve">s were analyzed for </w:t>
      </w:r>
      <w:proofErr w:type="spellStart"/>
      <w:r w:rsidR="007C26BB">
        <w:rPr>
          <w:bCs/>
          <w:kern w:val="32"/>
          <w:sz w:val="20"/>
          <w:szCs w:val="20"/>
          <w:lang w:val="en-US"/>
        </w:rPr>
        <w:t>microplastics</w:t>
      </w:r>
      <w:proofErr w:type="spellEnd"/>
      <w:r w:rsidR="0087365C" w:rsidRPr="0087365C">
        <w:rPr>
          <w:bCs/>
          <w:kern w:val="32"/>
          <w:sz w:val="20"/>
          <w:szCs w:val="20"/>
          <w:lang w:val="en-US"/>
        </w:rPr>
        <w:t xml:space="preserve"> concentrations and number of items by an innovative analytical procedure.</w:t>
      </w:r>
    </w:p>
    <w:p w:rsidR="0087365C" w:rsidRPr="00AC613B" w:rsidRDefault="0087365C" w:rsidP="0087365C">
      <w:pPr>
        <w:rPr>
          <w:sz w:val="20"/>
          <w:szCs w:val="20"/>
          <w:lang w:val="en-US"/>
        </w:rPr>
      </w:pPr>
    </w:p>
    <w:p w:rsidR="00680EAC" w:rsidRDefault="00680EAC">
      <w:pPr>
        <w:rPr>
          <w:sz w:val="20"/>
          <w:szCs w:val="20"/>
          <w:lang w:val="en-US"/>
        </w:rPr>
      </w:pPr>
      <w:r w:rsidRPr="00AC613B">
        <w:rPr>
          <w:b/>
          <w:bCs/>
          <w:kern w:val="32"/>
          <w:sz w:val="20"/>
          <w:szCs w:val="20"/>
          <w:lang w:val="en-US"/>
        </w:rPr>
        <w:t>Methods:</w:t>
      </w:r>
      <w:r w:rsidRPr="00AC613B">
        <w:rPr>
          <w:sz w:val="20"/>
          <w:szCs w:val="20"/>
          <w:lang w:val="en-US"/>
        </w:rPr>
        <w:t xml:space="preserve"> </w:t>
      </w:r>
      <w:r w:rsidR="0087365C">
        <w:rPr>
          <w:sz w:val="20"/>
          <w:szCs w:val="20"/>
          <w:lang w:val="en-US"/>
        </w:rPr>
        <w:t xml:space="preserve">NGI has developed a novel analytical method for the determination of quality and quantity of </w:t>
      </w:r>
      <w:proofErr w:type="spellStart"/>
      <w:r w:rsidR="0087365C">
        <w:rPr>
          <w:sz w:val="20"/>
          <w:szCs w:val="20"/>
          <w:lang w:val="en-US"/>
        </w:rPr>
        <w:t>microplastic</w:t>
      </w:r>
      <w:proofErr w:type="spellEnd"/>
      <w:r w:rsidR="0087365C">
        <w:rPr>
          <w:sz w:val="20"/>
          <w:szCs w:val="20"/>
          <w:lang w:val="en-US"/>
        </w:rPr>
        <w:t xml:space="preserve"> in sediment, water and biota samples. </w:t>
      </w:r>
      <w:r w:rsidR="001B756D">
        <w:rPr>
          <w:sz w:val="20"/>
          <w:szCs w:val="20"/>
          <w:lang w:val="en-US"/>
        </w:rPr>
        <w:t xml:space="preserve">This method was applied on 35 samples collected </w:t>
      </w:r>
      <w:r w:rsidR="001B756D" w:rsidRPr="001B756D">
        <w:rPr>
          <w:sz w:val="20"/>
          <w:szCs w:val="20"/>
          <w:lang w:val="en-US"/>
        </w:rPr>
        <w:t>from a large geographical area were sampled, covering the central North Sea, northern North Sea and the Barents Sea</w:t>
      </w:r>
      <w:r w:rsidRPr="00AC613B">
        <w:rPr>
          <w:sz w:val="20"/>
          <w:szCs w:val="20"/>
          <w:lang w:val="en-US"/>
        </w:rPr>
        <w:t>.</w:t>
      </w:r>
    </w:p>
    <w:p w:rsidR="004041E8" w:rsidRDefault="004041E8">
      <w:pPr>
        <w:rPr>
          <w:sz w:val="20"/>
          <w:szCs w:val="20"/>
          <w:lang w:val="en-US"/>
        </w:rPr>
      </w:pPr>
    </w:p>
    <w:p w:rsidR="00A94BA3" w:rsidRPr="00AC613B" w:rsidRDefault="00A94BA3">
      <w:pPr>
        <w:rPr>
          <w:sz w:val="20"/>
          <w:szCs w:val="20"/>
          <w:lang w:val="en-US"/>
        </w:rPr>
      </w:pPr>
    </w:p>
    <w:p w:rsidR="00680EAC" w:rsidRPr="00AC613B" w:rsidRDefault="004041E8">
      <w:pPr>
        <w:jc w:val="center"/>
        <w:rPr>
          <w:sz w:val="20"/>
          <w:szCs w:val="20"/>
        </w:rPr>
      </w:pPr>
      <w:r>
        <w:rPr>
          <w:noProof/>
          <w:sz w:val="20"/>
          <w:szCs w:val="20"/>
          <w:lang w:val="en-GB" w:eastAsia="zh-CN"/>
        </w:rPr>
        <w:drawing>
          <wp:inline distT="0" distB="0" distL="0" distR="0" wp14:anchorId="18A2DE05">
            <wp:extent cx="2355412" cy="3339044"/>
            <wp:effectExtent l="0" t="0" r="698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0875" cy="3417668"/>
                    </a:xfrm>
                    <a:prstGeom prst="rect">
                      <a:avLst/>
                    </a:prstGeom>
                    <a:noFill/>
                  </pic:spPr>
                </pic:pic>
              </a:graphicData>
            </a:graphic>
          </wp:inline>
        </w:drawing>
      </w:r>
    </w:p>
    <w:p w:rsidR="00680EAC" w:rsidRPr="00AC613B" w:rsidRDefault="00680EAC">
      <w:pPr>
        <w:pStyle w:val="Caption1"/>
        <w:tabs>
          <w:tab w:val="clear" w:pos="1134"/>
          <w:tab w:val="left" w:pos="709"/>
        </w:tabs>
        <w:rPr>
          <w:sz w:val="20"/>
          <w:szCs w:val="20"/>
          <w:lang w:val="en-GB"/>
        </w:rPr>
      </w:pPr>
      <w:r w:rsidRPr="00920210">
        <w:rPr>
          <w:b/>
          <w:sz w:val="20"/>
          <w:szCs w:val="20"/>
          <w:lang w:val="en-GB"/>
        </w:rPr>
        <w:t>Fig. 1:</w:t>
      </w:r>
      <w:r w:rsidRPr="00AC613B">
        <w:rPr>
          <w:sz w:val="20"/>
          <w:szCs w:val="20"/>
          <w:lang w:val="en-GB"/>
        </w:rPr>
        <w:tab/>
      </w:r>
      <w:r w:rsidR="0087365C">
        <w:rPr>
          <w:sz w:val="20"/>
          <w:szCs w:val="20"/>
          <w:lang w:val="en-GB"/>
        </w:rPr>
        <w:t>Map of stations sampled in the study</w:t>
      </w:r>
      <w:r w:rsidRPr="00AC613B">
        <w:rPr>
          <w:sz w:val="20"/>
          <w:szCs w:val="20"/>
          <w:lang w:val="en-GB"/>
        </w:rPr>
        <w:t>.</w:t>
      </w:r>
    </w:p>
    <w:p w:rsidR="004041E8" w:rsidRPr="004041E8" w:rsidRDefault="00680EAC" w:rsidP="004041E8">
      <w:pPr>
        <w:rPr>
          <w:sz w:val="20"/>
          <w:szCs w:val="20"/>
          <w:lang w:val="en-US"/>
        </w:rPr>
      </w:pPr>
      <w:r w:rsidRPr="00AC613B">
        <w:rPr>
          <w:b/>
          <w:bCs/>
          <w:kern w:val="32"/>
          <w:sz w:val="20"/>
          <w:szCs w:val="20"/>
          <w:lang w:val="en-US"/>
        </w:rPr>
        <w:t>Results:</w:t>
      </w:r>
      <w:r w:rsidRPr="00AC613B">
        <w:rPr>
          <w:sz w:val="20"/>
          <w:szCs w:val="20"/>
          <w:lang w:val="en-US"/>
        </w:rPr>
        <w:t xml:space="preserve"> </w:t>
      </w:r>
      <w:r w:rsidR="00747C62">
        <w:rPr>
          <w:sz w:val="20"/>
          <w:szCs w:val="20"/>
          <w:lang w:val="en-US"/>
        </w:rPr>
        <w:t xml:space="preserve">A maximum </w:t>
      </w:r>
      <w:r w:rsidR="004041E8" w:rsidRPr="004041E8">
        <w:rPr>
          <w:sz w:val="20"/>
          <w:szCs w:val="20"/>
          <w:lang w:val="en-US"/>
        </w:rPr>
        <w:t xml:space="preserve">average of 60 ± 80 mg </w:t>
      </w:r>
      <w:proofErr w:type="spellStart"/>
      <w:r w:rsidR="004041E8" w:rsidRPr="004041E8">
        <w:rPr>
          <w:sz w:val="20"/>
          <w:szCs w:val="20"/>
          <w:lang w:val="en-US"/>
        </w:rPr>
        <w:t>microplastics</w:t>
      </w:r>
      <w:proofErr w:type="spellEnd"/>
      <w:r w:rsidR="004041E8" w:rsidRPr="004041E8">
        <w:rPr>
          <w:sz w:val="20"/>
          <w:szCs w:val="20"/>
          <w:lang w:val="en-US"/>
        </w:rPr>
        <w:t xml:space="preserve">/kg dry sediment (corresponding to a maximum of 37 000 ± 50 000 items/m2 sediment surface) of potential </w:t>
      </w:r>
      <w:proofErr w:type="spellStart"/>
      <w:r w:rsidR="004041E8" w:rsidRPr="004041E8">
        <w:rPr>
          <w:sz w:val="20"/>
          <w:szCs w:val="20"/>
          <w:lang w:val="en-US"/>
        </w:rPr>
        <w:t>microplastics</w:t>
      </w:r>
      <w:proofErr w:type="spellEnd"/>
      <w:r w:rsidR="004041E8" w:rsidRPr="004041E8">
        <w:rPr>
          <w:sz w:val="20"/>
          <w:szCs w:val="20"/>
          <w:lang w:val="en-US"/>
        </w:rPr>
        <w:t xml:space="preserve"> were found in the </w:t>
      </w:r>
      <w:r w:rsidR="004041E8" w:rsidRPr="004041E8">
        <w:rPr>
          <w:sz w:val="20"/>
          <w:szCs w:val="20"/>
          <w:lang w:val="en-US"/>
        </w:rPr>
        <w:lastRenderedPageBreak/>
        <w:t>sediment samples from the Norwegian Continental Shelf.</w:t>
      </w:r>
    </w:p>
    <w:p w:rsidR="00680EAC" w:rsidRPr="00AC613B" w:rsidRDefault="004041E8" w:rsidP="004041E8">
      <w:pPr>
        <w:rPr>
          <w:sz w:val="20"/>
          <w:szCs w:val="20"/>
          <w:lang w:val="en-US"/>
        </w:rPr>
      </w:pPr>
      <w:r w:rsidRPr="004041E8">
        <w:rPr>
          <w:sz w:val="20"/>
          <w:szCs w:val="20"/>
          <w:lang w:val="en-US"/>
        </w:rPr>
        <w:t xml:space="preserve">The central North Sea had more </w:t>
      </w:r>
      <w:proofErr w:type="spellStart"/>
      <w:r w:rsidRPr="004041E8">
        <w:rPr>
          <w:sz w:val="20"/>
          <w:szCs w:val="20"/>
          <w:lang w:val="en-US"/>
        </w:rPr>
        <w:t>microplastics</w:t>
      </w:r>
      <w:proofErr w:type="spellEnd"/>
      <w:r w:rsidRPr="004041E8">
        <w:rPr>
          <w:sz w:val="20"/>
          <w:szCs w:val="20"/>
          <w:lang w:val="en-US"/>
        </w:rPr>
        <w:t xml:space="preserve"> than in the northern North Sea or Barents Sea areas, on maximum average 90 ± 100, 30 ± 40 and 30 ± 20 mg </w:t>
      </w:r>
      <w:proofErr w:type="spellStart"/>
      <w:r w:rsidRPr="004041E8">
        <w:rPr>
          <w:sz w:val="20"/>
          <w:szCs w:val="20"/>
          <w:lang w:val="en-US"/>
        </w:rPr>
        <w:t>microplastics</w:t>
      </w:r>
      <w:proofErr w:type="spellEnd"/>
      <w:r w:rsidRPr="004041E8">
        <w:rPr>
          <w:sz w:val="20"/>
          <w:szCs w:val="20"/>
          <w:lang w:val="en-US"/>
        </w:rPr>
        <w:t xml:space="preserve">/kg dry sediment. Further, the samples with the top 6 highest concentrations were found in the central North Sea. The reason for this is uncertain but may be explained by large scale currents/gyres which accumulate debris in this part of the North Sea and influences from continental Europe through river run off among others. In addition, this area has relatively high shipping traffic and fishing activity which may contribute to plastic emissions. The central North Sea is also the area with the longest history of Oil &amp; Gas activity, but the influence from this is unknown considering the large geographical areas and the few samples that were </w:t>
      </w:r>
      <w:r w:rsidR="007C26BB" w:rsidRPr="004041E8">
        <w:rPr>
          <w:sz w:val="20"/>
          <w:szCs w:val="20"/>
          <w:lang w:val="en-US"/>
        </w:rPr>
        <w:t>analyzed</w:t>
      </w:r>
      <w:r w:rsidRPr="004041E8">
        <w:rPr>
          <w:sz w:val="20"/>
          <w:szCs w:val="20"/>
          <w:lang w:val="en-US"/>
        </w:rPr>
        <w:t xml:space="preserve"> among others</w:t>
      </w:r>
    </w:p>
    <w:p w:rsidR="00680EAC" w:rsidRPr="00AC613B" w:rsidRDefault="00680EAC">
      <w:pPr>
        <w:rPr>
          <w:sz w:val="20"/>
          <w:szCs w:val="20"/>
          <w:lang w:val="en-US"/>
        </w:rPr>
      </w:pPr>
    </w:p>
    <w:p w:rsidR="004041E8" w:rsidRDefault="00680EAC" w:rsidP="004041E8">
      <w:pPr>
        <w:rPr>
          <w:sz w:val="20"/>
          <w:szCs w:val="20"/>
          <w:lang w:val="en-US"/>
        </w:rPr>
      </w:pPr>
      <w:r w:rsidRPr="00AC613B">
        <w:rPr>
          <w:b/>
          <w:bCs/>
          <w:sz w:val="20"/>
          <w:szCs w:val="20"/>
          <w:lang w:val="en-US"/>
        </w:rPr>
        <w:t>Discussion:</w:t>
      </w:r>
      <w:r w:rsidR="004041E8">
        <w:rPr>
          <w:sz w:val="20"/>
          <w:szCs w:val="20"/>
          <w:lang w:val="en-US"/>
        </w:rPr>
        <w:t xml:space="preserve"> </w:t>
      </w:r>
      <w:r w:rsidR="004041E8" w:rsidRPr="004041E8">
        <w:rPr>
          <w:sz w:val="20"/>
          <w:szCs w:val="20"/>
          <w:lang w:val="en-US"/>
        </w:rPr>
        <w:t xml:space="preserve">Extrapolating the results for the entire North Sea (area 142 000 km2) and acknowledge </w:t>
      </w:r>
      <w:proofErr w:type="gramStart"/>
      <w:r w:rsidR="004041E8" w:rsidRPr="004041E8">
        <w:rPr>
          <w:sz w:val="20"/>
          <w:szCs w:val="20"/>
          <w:lang w:val="en-US"/>
        </w:rPr>
        <w:t>large</w:t>
      </w:r>
      <w:proofErr w:type="gramEnd"/>
      <w:r w:rsidR="004041E8" w:rsidRPr="004041E8">
        <w:rPr>
          <w:sz w:val="20"/>
          <w:szCs w:val="20"/>
          <w:lang w:val="en-US"/>
        </w:rPr>
        <w:t xml:space="preserve"> uncertainties this would imply there is roughly 16 000 to 100 000 </w:t>
      </w:r>
      <w:proofErr w:type="spellStart"/>
      <w:r w:rsidR="004041E8" w:rsidRPr="004041E8">
        <w:rPr>
          <w:sz w:val="20"/>
          <w:szCs w:val="20"/>
          <w:lang w:val="en-US"/>
        </w:rPr>
        <w:t>tonnes</w:t>
      </w:r>
      <w:proofErr w:type="spellEnd"/>
      <w:r w:rsidR="004041E8" w:rsidRPr="004041E8">
        <w:rPr>
          <w:sz w:val="20"/>
          <w:szCs w:val="20"/>
          <w:lang w:val="en-US"/>
        </w:rPr>
        <w:t xml:space="preserve"> of </w:t>
      </w:r>
      <w:proofErr w:type="spellStart"/>
      <w:r w:rsidR="004041E8" w:rsidRPr="004041E8">
        <w:rPr>
          <w:sz w:val="20"/>
          <w:szCs w:val="20"/>
          <w:lang w:val="en-US"/>
        </w:rPr>
        <w:t>microplastics</w:t>
      </w:r>
      <w:proofErr w:type="spellEnd"/>
      <w:r w:rsidR="004041E8" w:rsidRPr="004041E8">
        <w:rPr>
          <w:sz w:val="20"/>
          <w:szCs w:val="20"/>
          <w:lang w:val="en-US"/>
        </w:rPr>
        <w:t xml:space="preserve"> in the North Sea.</w:t>
      </w:r>
    </w:p>
    <w:p w:rsidR="004041E8" w:rsidRPr="004041E8" w:rsidRDefault="004041E8" w:rsidP="004041E8">
      <w:pPr>
        <w:rPr>
          <w:sz w:val="20"/>
          <w:szCs w:val="20"/>
          <w:lang w:val="en-US"/>
        </w:rPr>
      </w:pPr>
    </w:p>
    <w:p w:rsidR="004041E8" w:rsidRDefault="004041E8" w:rsidP="004041E8">
      <w:pPr>
        <w:rPr>
          <w:sz w:val="20"/>
          <w:szCs w:val="20"/>
          <w:lang w:val="en-US"/>
        </w:rPr>
      </w:pPr>
      <w:r w:rsidRPr="004041E8">
        <w:rPr>
          <w:sz w:val="20"/>
          <w:szCs w:val="20"/>
          <w:lang w:val="en-US"/>
        </w:rPr>
        <w:t xml:space="preserve">Based on the analytical methodology used and the inherent uncertainties the highest   </w:t>
      </w:r>
      <w:proofErr w:type="spellStart"/>
      <w:r w:rsidRPr="004041E8">
        <w:rPr>
          <w:sz w:val="20"/>
          <w:szCs w:val="20"/>
          <w:lang w:val="en-US"/>
        </w:rPr>
        <w:t>microplastics</w:t>
      </w:r>
      <w:proofErr w:type="spellEnd"/>
      <w:r w:rsidRPr="004041E8">
        <w:rPr>
          <w:sz w:val="20"/>
          <w:szCs w:val="20"/>
          <w:lang w:val="en-US"/>
        </w:rPr>
        <w:t xml:space="preserve"> concentrations are in general found at locations close to Oil &amp; Gas installations.</w:t>
      </w:r>
    </w:p>
    <w:p w:rsidR="004041E8" w:rsidRPr="004041E8" w:rsidRDefault="004041E8" w:rsidP="004041E8">
      <w:pPr>
        <w:rPr>
          <w:sz w:val="20"/>
          <w:szCs w:val="20"/>
          <w:lang w:val="en-US"/>
        </w:rPr>
      </w:pPr>
    </w:p>
    <w:p w:rsidR="004041E8" w:rsidRDefault="004041E8" w:rsidP="004041E8">
      <w:pPr>
        <w:rPr>
          <w:sz w:val="20"/>
          <w:szCs w:val="20"/>
          <w:lang w:val="en-US"/>
        </w:rPr>
      </w:pPr>
      <w:r w:rsidRPr="004041E8">
        <w:rPr>
          <w:sz w:val="20"/>
          <w:szCs w:val="20"/>
          <w:lang w:val="en-US"/>
        </w:rPr>
        <w:t xml:space="preserve">The results of this study have revealed relatively high concentrations of potential </w:t>
      </w:r>
      <w:proofErr w:type="spellStart"/>
      <w:r w:rsidRPr="004041E8">
        <w:rPr>
          <w:sz w:val="20"/>
          <w:szCs w:val="20"/>
          <w:lang w:val="en-US"/>
        </w:rPr>
        <w:t>microplastics</w:t>
      </w:r>
      <w:proofErr w:type="spellEnd"/>
      <w:r w:rsidRPr="004041E8">
        <w:rPr>
          <w:sz w:val="20"/>
          <w:szCs w:val="20"/>
          <w:lang w:val="en-US"/>
        </w:rPr>
        <w:t xml:space="preserve"> in the areas that were studied, which may confirm the widespread occurrence of </w:t>
      </w:r>
      <w:proofErr w:type="spellStart"/>
      <w:r w:rsidRPr="004041E8">
        <w:rPr>
          <w:sz w:val="20"/>
          <w:szCs w:val="20"/>
          <w:lang w:val="en-US"/>
        </w:rPr>
        <w:t>microplastics</w:t>
      </w:r>
      <w:proofErr w:type="spellEnd"/>
      <w:r w:rsidRPr="004041E8">
        <w:rPr>
          <w:sz w:val="20"/>
          <w:szCs w:val="20"/>
          <w:lang w:val="en-US"/>
        </w:rPr>
        <w:t xml:space="preserve"> in the marine benthic environment. </w:t>
      </w:r>
    </w:p>
    <w:p w:rsidR="004041E8" w:rsidRPr="004041E8" w:rsidRDefault="004041E8" w:rsidP="004041E8">
      <w:pPr>
        <w:rPr>
          <w:sz w:val="20"/>
          <w:szCs w:val="20"/>
          <w:lang w:val="en-US"/>
        </w:rPr>
      </w:pPr>
    </w:p>
    <w:p w:rsidR="004041E8" w:rsidRPr="004041E8" w:rsidRDefault="004041E8" w:rsidP="004041E8">
      <w:pPr>
        <w:rPr>
          <w:sz w:val="20"/>
          <w:szCs w:val="20"/>
          <w:lang w:val="en-US"/>
        </w:rPr>
      </w:pPr>
      <w:r w:rsidRPr="004041E8">
        <w:rPr>
          <w:sz w:val="20"/>
          <w:szCs w:val="20"/>
          <w:lang w:val="en-US"/>
        </w:rPr>
        <w:t xml:space="preserve">The transport path of </w:t>
      </w:r>
      <w:proofErr w:type="spellStart"/>
      <w:r w:rsidRPr="004041E8">
        <w:rPr>
          <w:sz w:val="20"/>
          <w:szCs w:val="20"/>
          <w:lang w:val="en-US"/>
        </w:rPr>
        <w:t>microplastics</w:t>
      </w:r>
      <w:proofErr w:type="spellEnd"/>
      <w:r w:rsidRPr="004041E8">
        <w:rPr>
          <w:sz w:val="20"/>
          <w:szCs w:val="20"/>
          <w:lang w:val="en-US"/>
        </w:rPr>
        <w:t xml:space="preserve"> from the surface of the ocean to the seabed is very complex. Therefore, it cannot be expected to see a gradient of </w:t>
      </w:r>
      <w:proofErr w:type="spellStart"/>
      <w:r w:rsidRPr="004041E8">
        <w:rPr>
          <w:sz w:val="20"/>
          <w:szCs w:val="20"/>
          <w:lang w:val="en-US"/>
        </w:rPr>
        <w:t>microplastics</w:t>
      </w:r>
      <w:proofErr w:type="spellEnd"/>
      <w:r w:rsidRPr="004041E8">
        <w:rPr>
          <w:sz w:val="20"/>
          <w:szCs w:val="20"/>
          <w:lang w:val="en-US"/>
        </w:rPr>
        <w:t xml:space="preserve"> from areas where they are emitted and farther away. Further, because </w:t>
      </w:r>
      <w:proofErr w:type="spellStart"/>
      <w:r w:rsidRPr="004041E8">
        <w:rPr>
          <w:sz w:val="20"/>
          <w:szCs w:val="20"/>
          <w:lang w:val="en-US"/>
        </w:rPr>
        <w:t>microplastics</w:t>
      </w:r>
      <w:proofErr w:type="spellEnd"/>
      <w:r w:rsidRPr="004041E8">
        <w:rPr>
          <w:sz w:val="20"/>
          <w:szCs w:val="20"/>
          <w:lang w:val="en-US"/>
        </w:rPr>
        <w:t xml:space="preserve"> can be quite buoyant, they may be able to travel vast distances from their source before settling in sediment.</w:t>
      </w:r>
    </w:p>
    <w:sectPr w:rsidR="004041E8" w:rsidRPr="004041E8" w:rsidSect="00C71EE5">
      <w:type w:val="continuous"/>
      <w:pgSz w:w="11906" w:h="16838" w:code="9"/>
      <w:pgMar w:top="1418" w:right="1418" w:bottom="1134" w:left="1418" w:header="709" w:footer="709" w:gutter="0"/>
      <w:cols w:num="2" w:sep="1"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E90" w:rsidRDefault="008F5E90">
      <w:r>
        <w:separator/>
      </w:r>
    </w:p>
  </w:endnote>
  <w:endnote w:type="continuationSeparator" w:id="0">
    <w:p w:rsidR="008F5E90" w:rsidRDefault="008F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E90" w:rsidRDefault="008F5E90">
      <w:r>
        <w:separator/>
      </w:r>
    </w:p>
  </w:footnote>
  <w:footnote w:type="continuationSeparator" w:id="0">
    <w:p w:rsidR="008F5E90" w:rsidRDefault="008F5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62C358"/>
    <w:lvl w:ilvl="0">
      <w:start w:val="1"/>
      <w:numFmt w:val="decimal"/>
      <w:lvlText w:val="%1."/>
      <w:lvlJc w:val="left"/>
      <w:pPr>
        <w:tabs>
          <w:tab w:val="num" w:pos="1492"/>
        </w:tabs>
        <w:ind w:left="1492" w:hanging="360"/>
      </w:pPr>
    </w:lvl>
  </w:abstractNum>
  <w:abstractNum w:abstractNumId="1">
    <w:nsid w:val="FFFFFF7D"/>
    <w:multiLevelType w:val="singleLevel"/>
    <w:tmpl w:val="59CC5596"/>
    <w:lvl w:ilvl="0">
      <w:start w:val="1"/>
      <w:numFmt w:val="decimal"/>
      <w:lvlText w:val="%1."/>
      <w:lvlJc w:val="left"/>
      <w:pPr>
        <w:tabs>
          <w:tab w:val="num" w:pos="1209"/>
        </w:tabs>
        <w:ind w:left="1209" w:hanging="360"/>
      </w:pPr>
    </w:lvl>
  </w:abstractNum>
  <w:abstractNum w:abstractNumId="2">
    <w:nsid w:val="FFFFFF7E"/>
    <w:multiLevelType w:val="singleLevel"/>
    <w:tmpl w:val="9B4EAC80"/>
    <w:lvl w:ilvl="0">
      <w:start w:val="1"/>
      <w:numFmt w:val="decimal"/>
      <w:lvlText w:val="%1."/>
      <w:lvlJc w:val="left"/>
      <w:pPr>
        <w:tabs>
          <w:tab w:val="num" w:pos="926"/>
        </w:tabs>
        <w:ind w:left="926" w:hanging="360"/>
      </w:pPr>
    </w:lvl>
  </w:abstractNum>
  <w:abstractNum w:abstractNumId="3">
    <w:nsid w:val="FFFFFF7F"/>
    <w:multiLevelType w:val="singleLevel"/>
    <w:tmpl w:val="FFFC1584"/>
    <w:lvl w:ilvl="0">
      <w:start w:val="1"/>
      <w:numFmt w:val="decimal"/>
      <w:lvlText w:val="%1."/>
      <w:lvlJc w:val="left"/>
      <w:pPr>
        <w:tabs>
          <w:tab w:val="num" w:pos="643"/>
        </w:tabs>
        <w:ind w:left="643" w:hanging="360"/>
      </w:pPr>
    </w:lvl>
  </w:abstractNum>
  <w:abstractNum w:abstractNumId="4">
    <w:nsid w:val="FFFFFF80"/>
    <w:multiLevelType w:val="singleLevel"/>
    <w:tmpl w:val="50C4CD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902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92FA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A6D8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E3732"/>
    <w:lvl w:ilvl="0">
      <w:start w:val="1"/>
      <w:numFmt w:val="decimal"/>
      <w:lvlText w:val="%1."/>
      <w:lvlJc w:val="left"/>
      <w:pPr>
        <w:tabs>
          <w:tab w:val="num" w:pos="360"/>
        </w:tabs>
        <w:ind w:left="360" w:hanging="360"/>
      </w:pPr>
    </w:lvl>
  </w:abstractNum>
  <w:abstractNum w:abstractNumId="9">
    <w:nsid w:val="FFFFFF89"/>
    <w:multiLevelType w:val="singleLevel"/>
    <w:tmpl w:val="4E8EED84"/>
    <w:lvl w:ilvl="0">
      <w:start w:val="1"/>
      <w:numFmt w:val="bullet"/>
      <w:lvlText w:val=""/>
      <w:lvlJc w:val="left"/>
      <w:pPr>
        <w:tabs>
          <w:tab w:val="num" w:pos="360"/>
        </w:tabs>
        <w:ind w:left="360" w:hanging="360"/>
      </w:pPr>
      <w:rPr>
        <w:rFonts w:ascii="Symbol" w:hAnsi="Symbol" w:hint="default"/>
      </w:rPr>
    </w:lvl>
  </w:abstractNum>
  <w:abstractNum w:abstractNumId="10">
    <w:nsid w:val="55E876DF"/>
    <w:multiLevelType w:val="hybridMultilevel"/>
    <w:tmpl w:val="23A0FC3C"/>
    <w:lvl w:ilvl="0" w:tplc="4F54E41A">
      <w:start w:val="1"/>
      <w:numFmt w:val="lowerLetter"/>
      <w:pStyle w:val="Institutes"/>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3A"/>
    <w:rsid w:val="000D581E"/>
    <w:rsid w:val="000F0044"/>
    <w:rsid w:val="00116538"/>
    <w:rsid w:val="00146A49"/>
    <w:rsid w:val="00172F35"/>
    <w:rsid w:val="001866A1"/>
    <w:rsid w:val="001B756D"/>
    <w:rsid w:val="0025305B"/>
    <w:rsid w:val="002B6BF8"/>
    <w:rsid w:val="004041E8"/>
    <w:rsid w:val="00444C98"/>
    <w:rsid w:val="005E0E7D"/>
    <w:rsid w:val="00626F7F"/>
    <w:rsid w:val="00630B68"/>
    <w:rsid w:val="0065263B"/>
    <w:rsid w:val="00663BAE"/>
    <w:rsid w:val="00680EAC"/>
    <w:rsid w:val="006F68F4"/>
    <w:rsid w:val="00743B84"/>
    <w:rsid w:val="00747C62"/>
    <w:rsid w:val="007A4D52"/>
    <w:rsid w:val="007C26BB"/>
    <w:rsid w:val="00824156"/>
    <w:rsid w:val="00847578"/>
    <w:rsid w:val="00851D3A"/>
    <w:rsid w:val="0087365C"/>
    <w:rsid w:val="008F5E90"/>
    <w:rsid w:val="009035B6"/>
    <w:rsid w:val="00920210"/>
    <w:rsid w:val="00A065BD"/>
    <w:rsid w:val="00A22FD4"/>
    <w:rsid w:val="00A94BA3"/>
    <w:rsid w:val="00A96C44"/>
    <w:rsid w:val="00AC613B"/>
    <w:rsid w:val="00AF0775"/>
    <w:rsid w:val="00B83991"/>
    <w:rsid w:val="00B8518B"/>
    <w:rsid w:val="00BA015E"/>
    <w:rsid w:val="00BB51B5"/>
    <w:rsid w:val="00C47A2F"/>
    <w:rsid w:val="00C71EE5"/>
    <w:rsid w:val="00CB6381"/>
    <w:rsid w:val="00CE5820"/>
    <w:rsid w:val="00D46890"/>
    <w:rsid w:val="00D734C1"/>
    <w:rsid w:val="00D940AF"/>
    <w:rsid w:val="00E82114"/>
    <w:rsid w:val="00ED133B"/>
    <w:rsid w:val="00ED38A2"/>
    <w:rsid w:val="00F00B0F"/>
    <w:rsid w:val="00F02BEC"/>
    <w:rsid w:val="00F548C8"/>
    <w:rsid w:val="00F771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4"/>
      <w:lang w:val="de-DE" w:eastAsia="de-DE"/>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80"/>
    </w:rPr>
  </w:style>
  <w:style w:type="paragraph" w:styleId="Title">
    <w:name w:val="Title"/>
    <w:basedOn w:val="Normal"/>
    <w:qFormat/>
    <w:pPr>
      <w:tabs>
        <w:tab w:val="left" w:pos="7769"/>
      </w:tabs>
      <w:spacing w:before="120" w:after="120"/>
      <w:jc w:val="center"/>
      <w:outlineLvl w:val="0"/>
    </w:pPr>
    <w:rPr>
      <w:b/>
      <w:bCs/>
      <w:kern w:val="28"/>
      <w:sz w:val="24"/>
      <w:szCs w:val="32"/>
    </w:rPr>
  </w:style>
  <w:style w:type="paragraph" w:customStyle="1" w:styleId="Institutes">
    <w:name w:val="Institutes"/>
    <w:basedOn w:val="Authors"/>
    <w:pPr>
      <w:numPr>
        <w:numId w:val="1"/>
      </w:numPr>
      <w:tabs>
        <w:tab w:val="clear" w:pos="1065"/>
        <w:tab w:val="left" w:pos="426"/>
      </w:tabs>
      <w:spacing w:before="60" w:after="60"/>
      <w:ind w:left="426" w:hanging="426"/>
      <w:jc w:val="left"/>
      <w:outlineLvl w:val="9"/>
    </w:pPr>
    <w:rPr>
      <w:sz w:val="20"/>
    </w:rPr>
  </w:style>
  <w:style w:type="paragraph" w:customStyle="1" w:styleId="Authors">
    <w:name w:val="Authors"/>
    <w:basedOn w:val="Title"/>
    <w:pPr>
      <w:shd w:val="solid" w:color="FFFFFF" w:fill="FFFFFF"/>
    </w:pPr>
    <w:rPr>
      <w:sz w:val="22"/>
    </w:rPr>
  </w:style>
  <w:style w:type="table" w:styleId="TableGrid">
    <w:name w:val="Table Grid"/>
    <w:basedOn w:val="TableNormal"/>
    <w:rsid w:val="00CE58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pPr>
      <w:tabs>
        <w:tab w:val="left" w:pos="1134"/>
      </w:tabs>
      <w:spacing w:after="120"/>
    </w:pPr>
    <w:rPr>
      <w:iCs/>
      <w:sz w:val="18"/>
      <w:szCs w:val="18"/>
      <w:lang w:eastAsia="en-US"/>
    </w:rPr>
  </w:style>
  <w:style w:type="paragraph" w:styleId="Header">
    <w:name w:val="header"/>
    <w:basedOn w:val="Normal"/>
    <w:rsid w:val="00BA015E"/>
    <w:pPr>
      <w:tabs>
        <w:tab w:val="center" w:pos="4536"/>
        <w:tab w:val="right" w:pos="9072"/>
      </w:tabs>
    </w:pPr>
  </w:style>
  <w:style w:type="paragraph" w:styleId="Footer">
    <w:name w:val="footer"/>
    <w:basedOn w:val="Normal"/>
    <w:rsid w:val="00BA015E"/>
    <w:pPr>
      <w:tabs>
        <w:tab w:val="center" w:pos="4536"/>
        <w:tab w:val="right" w:pos="9072"/>
      </w:tabs>
    </w:pPr>
  </w:style>
  <w:style w:type="character" w:styleId="PageNumber">
    <w:name w:val="page number"/>
    <w:basedOn w:val="DefaultParagraphFont"/>
    <w:rsid w:val="00F02BEC"/>
  </w:style>
  <w:style w:type="paragraph" w:styleId="DocumentMap">
    <w:name w:val="Document Map"/>
    <w:basedOn w:val="Normal"/>
    <w:semiHidden/>
    <w:rsid w:val="00A96C44"/>
    <w:pPr>
      <w:shd w:val="clear" w:color="auto" w:fill="000080"/>
    </w:pPr>
    <w:rPr>
      <w:rFonts w:ascii="Tahoma" w:hAnsi="Tahoma" w:cs="Tahoma"/>
      <w:sz w:val="20"/>
      <w:szCs w:val="20"/>
    </w:rPr>
  </w:style>
  <w:style w:type="paragraph" w:styleId="BalloonText">
    <w:name w:val="Balloon Text"/>
    <w:basedOn w:val="Normal"/>
    <w:link w:val="BalloonTextChar"/>
    <w:rsid w:val="00B83991"/>
    <w:rPr>
      <w:rFonts w:ascii="Tahoma" w:hAnsi="Tahoma" w:cs="Tahoma"/>
      <w:sz w:val="16"/>
      <w:szCs w:val="16"/>
    </w:rPr>
  </w:style>
  <w:style w:type="character" w:customStyle="1" w:styleId="BalloonTextChar">
    <w:name w:val="Balloon Text Char"/>
    <w:basedOn w:val="DefaultParagraphFont"/>
    <w:link w:val="BalloonText"/>
    <w:rsid w:val="00B83991"/>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4"/>
      <w:lang w:val="de-DE" w:eastAsia="de-DE"/>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80"/>
    </w:rPr>
  </w:style>
  <w:style w:type="paragraph" w:styleId="Title">
    <w:name w:val="Title"/>
    <w:basedOn w:val="Normal"/>
    <w:qFormat/>
    <w:pPr>
      <w:tabs>
        <w:tab w:val="left" w:pos="7769"/>
      </w:tabs>
      <w:spacing w:before="120" w:after="120"/>
      <w:jc w:val="center"/>
      <w:outlineLvl w:val="0"/>
    </w:pPr>
    <w:rPr>
      <w:b/>
      <w:bCs/>
      <w:kern w:val="28"/>
      <w:sz w:val="24"/>
      <w:szCs w:val="32"/>
    </w:rPr>
  </w:style>
  <w:style w:type="paragraph" w:customStyle="1" w:styleId="Institutes">
    <w:name w:val="Institutes"/>
    <w:basedOn w:val="Authors"/>
    <w:pPr>
      <w:numPr>
        <w:numId w:val="1"/>
      </w:numPr>
      <w:tabs>
        <w:tab w:val="clear" w:pos="1065"/>
        <w:tab w:val="left" w:pos="426"/>
      </w:tabs>
      <w:spacing w:before="60" w:after="60"/>
      <w:ind w:left="426" w:hanging="426"/>
      <w:jc w:val="left"/>
      <w:outlineLvl w:val="9"/>
    </w:pPr>
    <w:rPr>
      <w:sz w:val="20"/>
    </w:rPr>
  </w:style>
  <w:style w:type="paragraph" w:customStyle="1" w:styleId="Authors">
    <w:name w:val="Authors"/>
    <w:basedOn w:val="Title"/>
    <w:pPr>
      <w:shd w:val="solid" w:color="FFFFFF" w:fill="FFFFFF"/>
    </w:pPr>
    <w:rPr>
      <w:sz w:val="22"/>
    </w:rPr>
  </w:style>
  <w:style w:type="table" w:styleId="TableGrid">
    <w:name w:val="Table Grid"/>
    <w:basedOn w:val="TableNormal"/>
    <w:rsid w:val="00CE58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pPr>
      <w:tabs>
        <w:tab w:val="left" w:pos="1134"/>
      </w:tabs>
      <w:spacing w:after="120"/>
    </w:pPr>
    <w:rPr>
      <w:iCs/>
      <w:sz w:val="18"/>
      <w:szCs w:val="18"/>
      <w:lang w:eastAsia="en-US"/>
    </w:rPr>
  </w:style>
  <w:style w:type="paragraph" w:styleId="Header">
    <w:name w:val="header"/>
    <w:basedOn w:val="Normal"/>
    <w:rsid w:val="00BA015E"/>
    <w:pPr>
      <w:tabs>
        <w:tab w:val="center" w:pos="4536"/>
        <w:tab w:val="right" w:pos="9072"/>
      </w:tabs>
    </w:pPr>
  </w:style>
  <w:style w:type="paragraph" w:styleId="Footer">
    <w:name w:val="footer"/>
    <w:basedOn w:val="Normal"/>
    <w:rsid w:val="00BA015E"/>
    <w:pPr>
      <w:tabs>
        <w:tab w:val="center" w:pos="4536"/>
        <w:tab w:val="right" w:pos="9072"/>
      </w:tabs>
    </w:pPr>
  </w:style>
  <w:style w:type="character" w:styleId="PageNumber">
    <w:name w:val="page number"/>
    <w:basedOn w:val="DefaultParagraphFont"/>
    <w:rsid w:val="00F02BEC"/>
  </w:style>
  <w:style w:type="paragraph" w:styleId="DocumentMap">
    <w:name w:val="Document Map"/>
    <w:basedOn w:val="Normal"/>
    <w:semiHidden/>
    <w:rsid w:val="00A96C44"/>
    <w:pPr>
      <w:shd w:val="clear" w:color="auto" w:fill="000080"/>
    </w:pPr>
    <w:rPr>
      <w:rFonts w:ascii="Tahoma" w:hAnsi="Tahoma" w:cs="Tahoma"/>
      <w:sz w:val="20"/>
      <w:szCs w:val="20"/>
    </w:rPr>
  </w:style>
  <w:style w:type="paragraph" w:styleId="BalloonText">
    <w:name w:val="Balloon Text"/>
    <w:basedOn w:val="Normal"/>
    <w:link w:val="BalloonTextChar"/>
    <w:rsid w:val="00B83991"/>
    <w:rPr>
      <w:rFonts w:ascii="Tahoma" w:hAnsi="Tahoma" w:cs="Tahoma"/>
      <w:sz w:val="16"/>
      <w:szCs w:val="16"/>
    </w:rPr>
  </w:style>
  <w:style w:type="character" w:customStyle="1" w:styleId="BalloonTextChar">
    <w:name w:val="Balloon Text Char"/>
    <w:basedOn w:val="DefaultParagraphFont"/>
    <w:link w:val="BalloonText"/>
    <w:rsid w:val="00B83991"/>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biomechanica-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biomechanica-e</Template>
  <TotalTime>0</TotalTime>
  <Pages>1</Pages>
  <Words>478</Words>
  <Characters>2726</Characters>
  <Application>Microsoft Office Word</Application>
  <DocSecurity>0</DocSecurity>
  <Lines>22</Lines>
  <Paragraphs>6</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Replace this text with the title</vt:lpstr>
      <vt:lpstr>Replace this text with the title</vt:lpstr>
      <vt:lpstr>Replace this text with the title </vt:lpstr>
    </vt:vector>
  </TitlesOfParts>
  <Company>TUHH; Biomechanik</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 this text with the title</dc:title>
  <dc:creator>EDV</dc:creator>
  <cp:lastModifiedBy>Marc</cp:lastModifiedBy>
  <cp:revision>2</cp:revision>
  <cp:lastPrinted>2019-05-01T13:45:00Z</cp:lastPrinted>
  <dcterms:created xsi:type="dcterms:W3CDTF">2019-05-01T13:45:00Z</dcterms:created>
  <dcterms:modified xsi:type="dcterms:W3CDTF">2019-05-01T13:45:00Z</dcterms:modified>
</cp:coreProperties>
</file>